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E517B">
        <w:rPr>
          <w:b/>
          <w:sz w:val="20"/>
          <w:szCs w:val="20"/>
        </w:rPr>
        <w:t>Н30В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6B47B2">
        <w:rPr>
          <w:sz w:val="20"/>
          <w:szCs w:val="20"/>
        </w:rPr>
        <w:t>Черных О.Е.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6E517B">
        <w:rPr>
          <w:sz w:val="20"/>
          <w:szCs w:val="20"/>
        </w:rPr>
        <w:t>Нижегородская, д. 30В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FB27A3">
        <w:rPr>
          <w:sz w:val="20"/>
          <w:szCs w:val="20"/>
        </w:rPr>
        <w:t>2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5863BD">
        <w:rPr>
          <w:sz w:val="20"/>
          <w:szCs w:val="20"/>
        </w:rPr>
        <w:t>сентября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1.2. Условия настоящего Договора </w:t>
      </w:r>
      <w:r w:rsidR="006E517B">
        <w:rPr>
          <w:sz w:val="20"/>
          <w:szCs w:val="20"/>
        </w:rPr>
        <w:t>1</w:t>
      </w:r>
      <w:r w:rsidRPr="0010470C">
        <w:rPr>
          <w:sz w:val="20"/>
          <w:szCs w:val="20"/>
        </w:rPr>
        <w:t>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>, ул</w:t>
      </w:r>
      <w:r w:rsidR="006E517B">
        <w:rPr>
          <w:sz w:val="20"/>
          <w:szCs w:val="20"/>
        </w:rPr>
        <w:t>. Нижегородская, д. 30В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6E517B">
        <w:rPr>
          <w:color w:val="000000"/>
          <w:sz w:val="20"/>
          <w:szCs w:val="20"/>
          <w:lang w:eastAsia="ru-RU"/>
        </w:rPr>
        <w:t>1982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6E517B">
        <w:rPr>
          <w:sz w:val="20"/>
          <w:szCs w:val="20"/>
        </w:rPr>
        <w:t>9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6E517B">
        <w:rPr>
          <w:sz w:val="20"/>
          <w:szCs w:val="20"/>
        </w:rPr>
        <w:t>36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6E517B">
        <w:rPr>
          <w:sz w:val="20"/>
          <w:szCs w:val="20"/>
        </w:rPr>
        <w:t>1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6E517B">
        <w:rPr>
          <w:color w:val="000000"/>
          <w:sz w:val="20"/>
          <w:szCs w:val="20"/>
          <w:lang w:eastAsia="ru-RU"/>
        </w:rPr>
        <w:t>1822,80</w:t>
      </w:r>
      <w:r w:rsidR="00F31EAD" w:rsidRPr="00F31EAD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6E517B">
        <w:rPr>
          <w:sz w:val="20"/>
          <w:szCs w:val="20"/>
        </w:rPr>
        <w:t>12,00</w:t>
      </w:r>
      <w:r w:rsidR="00FB27A3">
        <w:rPr>
          <w:sz w:val="20"/>
          <w:szCs w:val="20"/>
        </w:rPr>
        <w:t xml:space="preserve"> кв.м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6E517B">
        <w:rPr>
          <w:sz w:val="20"/>
          <w:szCs w:val="20"/>
        </w:rPr>
        <w:t>15,40</w:t>
      </w:r>
      <w:r w:rsidR="00F31EAD" w:rsidRPr="00F31EAD">
        <w:rPr>
          <w:sz w:val="20"/>
          <w:szCs w:val="20"/>
        </w:rPr>
        <w:t xml:space="preserve"> 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6B47B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6E517B">
        <w:rPr>
          <w:sz w:val="20"/>
          <w:szCs w:val="20"/>
        </w:rPr>
        <w:t>Н30В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6E517B">
        <w:rPr>
          <w:sz w:val="20"/>
          <w:szCs w:val="20"/>
        </w:rPr>
        <w:t>Нижегородская, д. 30В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6E517B" w:rsidRPr="0058250E" w:rsidRDefault="006E517B" w:rsidP="006E517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Н30В-___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E517B" w:rsidRPr="0058250E" w:rsidRDefault="006E517B" w:rsidP="006E517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E517B" w:rsidRPr="0058250E" w:rsidRDefault="006E517B" w:rsidP="006E517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Нижегородская, д. 30В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212694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6E517B" w:rsidRPr="0058250E" w:rsidRDefault="006E517B" w:rsidP="006E517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Н30В-___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E517B" w:rsidRPr="0058250E" w:rsidRDefault="006E517B" w:rsidP="006E517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E517B" w:rsidRPr="0058250E" w:rsidRDefault="006E517B" w:rsidP="006E517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Нижегородская, д. 30В</w:t>
      </w:r>
    </w:p>
    <w:p w:rsidR="000E281D" w:rsidRDefault="000E281D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tbl>
      <w:tblPr>
        <w:tblW w:w="9859" w:type="dxa"/>
        <w:tblLayout w:type="fixed"/>
        <w:tblLook w:val="04A0" w:firstRow="1" w:lastRow="0" w:firstColumn="1" w:lastColumn="0" w:noHBand="0" w:noVBand="1"/>
      </w:tblPr>
      <w:tblGrid>
        <w:gridCol w:w="631"/>
        <w:gridCol w:w="5318"/>
        <w:gridCol w:w="1559"/>
        <w:gridCol w:w="1134"/>
        <w:gridCol w:w="1217"/>
      </w:tblGrid>
      <w:tr w:rsidR="006E517B" w:rsidRPr="006E517B" w:rsidTr="006E517B">
        <w:trPr>
          <w:trHeight w:val="340"/>
        </w:trPr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6E517B" w:rsidRPr="006E517B" w:rsidTr="006E517B">
        <w:trPr>
          <w:trHeight w:val="84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6E517B" w:rsidRPr="006E517B" w:rsidTr="006E51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50192,34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2,27</w:t>
            </w:r>
          </w:p>
        </w:tc>
      </w:tr>
      <w:tr w:rsidR="006E517B" w:rsidRPr="006E517B" w:rsidTr="006E51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249,59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6E517B" w:rsidRPr="006E517B" w:rsidTr="006E51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39035,72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1,77</w:t>
            </w:r>
          </w:p>
        </w:tc>
      </w:tr>
      <w:tr w:rsidR="006E517B" w:rsidRPr="006E517B" w:rsidTr="006E51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16472,87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0,75</w:t>
            </w:r>
          </w:p>
        </w:tc>
      </w:tr>
      <w:tr w:rsidR="006E517B" w:rsidRPr="006E517B" w:rsidTr="006E51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15599,31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0,71</w:t>
            </w:r>
          </w:p>
        </w:tc>
      </w:tr>
      <w:tr w:rsidR="006E517B" w:rsidRPr="006E517B" w:rsidTr="006E51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1247,94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6E517B" w:rsidRPr="006E517B" w:rsidTr="006E51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122797,77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5,56</w:t>
            </w:r>
          </w:p>
        </w:tc>
      </w:tr>
      <w:tr w:rsidR="006E517B" w:rsidRPr="006E517B" w:rsidTr="006E517B">
        <w:trPr>
          <w:trHeight w:val="340"/>
        </w:trPr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6E517B" w:rsidRPr="006E517B" w:rsidTr="006E51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36190,40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6E517B" w:rsidRPr="006E517B" w:rsidTr="006E51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29701,09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6E517B" w:rsidRPr="006E517B" w:rsidTr="006E51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6E517B">
              <w:rPr>
                <w:sz w:val="18"/>
                <w:szCs w:val="18"/>
                <w:u w:val="single"/>
                <w:lang w:eastAsia="ru-RU"/>
              </w:rPr>
              <w:t>1</w:t>
            </w:r>
            <w:r w:rsidRPr="006E517B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26706,02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6E517B" w:rsidRPr="006E517B" w:rsidTr="006E51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6E517B">
              <w:rPr>
                <w:sz w:val="18"/>
                <w:szCs w:val="18"/>
                <w:u w:val="single"/>
                <w:lang w:eastAsia="ru-RU"/>
              </w:rPr>
              <w:t>6</w:t>
            </w:r>
            <w:r w:rsidRPr="006E517B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128288,73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6E517B" w:rsidRPr="006E517B" w:rsidTr="006E51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6E517B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220886,24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6E517B" w:rsidRPr="006E517B" w:rsidTr="006E517B">
        <w:trPr>
          <w:trHeight w:val="340"/>
        </w:trPr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6E517B" w:rsidRPr="006E517B" w:rsidTr="006E51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ВДГО,комплексное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color w:val="000000"/>
                <w:sz w:val="18"/>
                <w:szCs w:val="18"/>
                <w:lang w:eastAsia="ru-RU"/>
              </w:rPr>
              <w:t>232117,74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10,51</w:t>
            </w:r>
          </w:p>
        </w:tc>
      </w:tr>
      <w:tr w:rsidR="006E517B" w:rsidRPr="006E517B" w:rsidTr="006E51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34193,69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6E517B" w:rsidRPr="006E517B" w:rsidTr="006E51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2995,07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6E517B" w:rsidRPr="006E517B" w:rsidTr="006E51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998,36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6E517B" w:rsidRPr="006E517B" w:rsidTr="006E51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217142,41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9,84</w:t>
            </w:r>
          </w:p>
        </w:tc>
      </w:tr>
      <w:tr w:rsidR="006E517B" w:rsidRPr="006E517B" w:rsidTr="006E517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487447,26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22,08</w:t>
            </w:r>
          </w:p>
        </w:tc>
      </w:tr>
      <w:tr w:rsidR="006E517B" w:rsidRPr="006E517B" w:rsidTr="006E517B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7B" w:rsidRPr="006E517B" w:rsidRDefault="006E517B" w:rsidP="006E51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7B" w:rsidRPr="006E517B" w:rsidRDefault="006E517B" w:rsidP="006E517B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831131,28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7B" w:rsidRPr="006E517B" w:rsidRDefault="006E517B" w:rsidP="006E517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37,65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  <w:bookmarkStart w:id="0" w:name="_GoBack"/>
      <w:bookmarkEnd w:id="0"/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94" w:rsidRDefault="00212694" w:rsidP="00C95070">
      <w:r>
        <w:separator/>
      </w:r>
    </w:p>
  </w:endnote>
  <w:endnote w:type="continuationSeparator" w:id="0">
    <w:p w:rsidR="00212694" w:rsidRDefault="00212694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8D" w:rsidRDefault="00600C8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6E517B">
      <w:rPr>
        <w:noProof/>
      </w:rPr>
      <w:t>14</w:t>
    </w:r>
    <w:r>
      <w:fldChar w:fldCharType="end"/>
    </w:r>
  </w:p>
  <w:p w:rsidR="00600C8D" w:rsidRDefault="00600C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94" w:rsidRDefault="00212694" w:rsidP="00C95070">
      <w:r>
        <w:separator/>
      </w:r>
    </w:p>
  </w:footnote>
  <w:footnote w:type="continuationSeparator" w:id="0">
    <w:p w:rsidR="00212694" w:rsidRDefault="00212694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C2621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1FBE"/>
    <w:rsid w:val="001B3063"/>
    <w:rsid w:val="001C75AD"/>
    <w:rsid w:val="001D4972"/>
    <w:rsid w:val="001E3B28"/>
    <w:rsid w:val="00212694"/>
    <w:rsid w:val="00224039"/>
    <w:rsid w:val="00227BD0"/>
    <w:rsid w:val="002344F6"/>
    <w:rsid w:val="00242723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305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AE3"/>
    <w:rsid w:val="00684352"/>
    <w:rsid w:val="00697C94"/>
    <w:rsid w:val="006A6A54"/>
    <w:rsid w:val="006B47B2"/>
    <w:rsid w:val="006C41DA"/>
    <w:rsid w:val="006D7314"/>
    <w:rsid w:val="006E517B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31EAD"/>
    <w:rsid w:val="00F42CDD"/>
    <w:rsid w:val="00F45A2B"/>
    <w:rsid w:val="00F75263"/>
    <w:rsid w:val="00F86F8B"/>
    <w:rsid w:val="00FB27A3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B906-7658-4C05-9CBD-B1A66DAE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10267</Words>
  <Characters>58525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2016-09-29T14:54:00Z</dcterms:created>
  <dcterms:modified xsi:type="dcterms:W3CDTF">2016-09-29T14:54:00Z</dcterms:modified>
</cp:coreProperties>
</file>